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3286"/>
        <w:gridCol w:w="11535"/>
      </w:tblGrid>
      <w:tr w:rsidR="00BB3FFB" w:rsidTr="00BB3FFB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pPr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#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bookmarkEnd w:id="0"/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Inventory Digital Assets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List all websites, pages, mobile apps, kiosks, LMS systems, social media-content, vendor-hosted tools, documents (PDF/Word/PowerPoint/etc.) currently used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Determine Scope under Laws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For each asset, figure out which law(s) apply: NY § 170-f (if vendor under state contract), DOJ Title II (all web content &amp; mobile apps), HHS Section 504 (if funded by HHS)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Assess Current Compliance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Run audits of current content/apps/tools for WCAG 2.1 A &amp; AA compliance; separately check websites under contract for WCAG 2.2 (per NY law)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Prioritize Remediation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Based on risk, usage, importance, legal exposure. Prioritize high-traffic pages, key services (registration, fee payment, student services)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Vendor / Procurement Updates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Update contracts, RFPs, purchase agreements to require WCAG compliance and proof thereof; ensure vendors know which assets are covered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Archive or Label Legacy Content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Identify legacy / pre-existing content which may qualify for exceptions (archives, pre-2026 documents, etc.), label clearly, consider archiving / removing if no longer needed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Develop Policy &amp; Internal Guidance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Create or update internal policies on digital accessibility: roles, responsibilities, review workflows, documentation of compliance, remedy process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Document Fundamental Alteration &amp; Undue Burden Decisions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If any service or asset cannot reasonably meet the standards, ensure decision is made at appropriate level, documented, showing reasons &amp; available resources considered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Implement Alternate / Equivalent Facilitation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Where strict compliance isn’t technically or legally possible, determine conforming alternate versions or equivalent facilitation, with documentation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Review Exception Criteria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Ensure you know which assets might be exempt under the five exceptions (archived content, pre-existing documents, third-party content, individualized/password-protected documents, pre-existing social media) and track whether exception applies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Accessibility Statement &amp; Contact Info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Make sure every website has an accessibility statement, with contact info for users to request accessible version or report issues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Training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 xml:space="preserve">Train content creators, web </w:t>
            </w:r>
            <w:proofErr w:type="spellStart"/>
            <w:r>
              <w:t>devs</w:t>
            </w:r>
            <w:proofErr w:type="spellEnd"/>
            <w:r>
              <w:t>, vendor managers, and others on WCAG standards (2.1 &amp; when relevant 2.2), accessible content creation, inclusive design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Quality Assurance Workflow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Adopt processes (manual + automated) for checking new content before it goes live: e.g. contrast checks, alt text, keyboard navigation, screen reader tests, accessible forms, etc.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User Feedback &amp; Reporting Mechanism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Provide a way for website/app users to report accessibility issues; monitor complaints / feedback; track resolution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Monitor &amp; Update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Keep track of new guidance, regulations, or standards (e.g. future versions of WCAG), adjust policies and practices accordingly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Deadlines Compliance Mapping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Map out compliance deadlines for various assets / entity types: e.g. April 24, 2026 for many under DOJ, May 11, 2026 for HHS-funded, etc.</w:t>
            </w:r>
          </w:p>
        </w:tc>
      </w:tr>
      <w:tr w:rsidR="00BB3FFB" w:rsidTr="00BB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rPr>
                <w:b/>
                <w:bCs/>
              </w:rPr>
              <w:t>Review Third-Party Tools &amp; Social Media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FFB" w:rsidRDefault="00BB3FFB">
            <w:r>
              <w:t>Ensure vendor-hosted tools, platforms used for classes, event scheduling, payments, etc., meet required standards; review social media content (especially after deadlines)</w:t>
            </w:r>
          </w:p>
        </w:tc>
      </w:tr>
    </w:tbl>
    <w:p w:rsidR="00DB2977" w:rsidRDefault="00DB2977"/>
    <w:sectPr w:rsidR="00DB2977" w:rsidSect="00BB3FFB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FB"/>
    <w:rsid w:val="00AB6C0E"/>
    <w:rsid w:val="00BB3FFB"/>
    <w:rsid w:val="00D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7CA43-E9DB-4F52-A8B4-5614DE39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F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7AD32163D04FA456ED8D05531590" ma:contentTypeVersion="0" ma:contentTypeDescription="Create a new document." ma:contentTypeScope="" ma:versionID="07778e3052bab7fb52a23ffa366dbf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418D7-F643-449D-B3A6-6C078CFCA782}"/>
</file>

<file path=customXml/itemProps2.xml><?xml version="1.0" encoding="utf-8"?>
<ds:datastoreItem xmlns:ds="http://schemas.openxmlformats.org/officeDocument/2006/customXml" ds:itemID="{828C0B4F-8023-42F7-9315-6A3F44A2B02D}"/>
</file>

<file path=customXml/itemProps3.xml><?xml version="1.0" encoding="utf-8"?>
<ds:datastoreItem xmlns:ds="http://schemas.openxmlformats.org/officeDocument/2006/customXml" ds:itemID="{2B69E2E6-F610-4255-83ED-4C9A7705E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 Community College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Dudek</dc:creator>
  <cp:keywords/>
  <dc:description/>
  <cp:lastModifiedBy>Carrie Dudek</cp:lastModifiedBy>
  <cp:revision>1</cp:revision>
  <cp:lastPrinted>2025-09-12T16:49:00Z</cp:lastPrinted>
  <dcterms:created xsi:type="dcterms:W3CDTF">2025-09-12T16:48:00Z</dcterms:created>
  <dcterms:modified xsi:type="dcterms:W3CDTF">2025-09-12T21:18:00Z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0x0101009DB57AD32163D04FA456ED8D05531590</vt:lpwstr>
  </property>
</Properties>
</file>